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E74F" w14:textId="08AAEA63" w:rsidR="002E36E3" w:rsidRPr="002D473F" w:rsidRDefault="00972360" w:rsidP="002D473F">
      <w:pPr>
        <w:keepNext/>
        <w:spacing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2D473F">
        <w:rPr>
          <w:rFonts w:asciiTheme="majorHAnsi" w:eastAsia="Times New Roman" w:hAnsiTheme="majorHAnsi" w:cstheme="majorHAnsi"/>
          <w:b/>
          <w:sz w:val="28"/>
          <w:szCs w:val="28"/>
        </w:rPr>
        <w:t xml:space="preserve">Governing in </w:t>
      </w:r>
      <w:r w:rsidR="00256227" w:rsidRPr="002D473F">
        <w:rPr>
          <w:rFonts w:asciiTheme="majorHAnsi" w:eastAsia="Times New Roman" w:hAnsiTheme="majorHAnsi" w:cstheme="majorHAnsi"/>
          <w:b/>
          <w:sz w:val="28"/>
          <w:szCs w:val="28"/>
        </w:rPr>
        <w:t xml:space="preserve">Evermore </w:t>
      </w:r>
      <w:r w:rsidRPr="002D473F">
        <w:rPr>
          <w:rFonts w:asciiTheme="majorHAnsi" w:eastAsia="Times New Roman" w:hAnsiTheme="majorHAnsi" w:cstheme="majorHAnsi"/>
          <w:b/>
          <w:sz w:val="28"/>
          <w:szCs w:val="28"/>
        </w:rPr>
        <w:t>Turbulent Environments:</w:t>
      </w:r>
    </w:p>
    <w:p w14:paraId="3E7F8C07" w14:textId="77777777" w:rsidR="002E36E3" w:rsidRPr="002D473F" w:rsidRDefault="00972360" w:rsidP="002D473F">
      <w:pPr>
        <w:keepNext/>
        <w:spacing w:line="240" w:lineRule="auto"/>
        <w:jc w:val="center"/>
        <w:rPr>
          <w:rFonts w:asciiTheme="majorHAnsi" w:eastAsia="Times New Roman" w:hAnsiTheme="majorHAnsi" w:cstheme="majorHAnsi"/>
          <w:i/>
          <w:sz w:val="24"/>
          <w:szCs w:val="24"/>
        </w:rPr>
      </w:pPr>
      <w:r w:rsidRPr="002D473F">
        <w:rPr>
          <w:rFonts w:asciiTheme="majorHAnsi" w:eastAsia="Times New Roman" w:hAnsiTheme="majorHAnsi" w:cstheme="majorHAnsi"/>
          <w:b/>
          <w:sz w:val="28"/>
          <w:szCs w:val="28"/>
        </w:rPr>
        <w:t>Canada in Comparative Perspective</w:t>
      </w:r>
    </w:p>
    <w:p w14:paraId="3E2BC993" w14:textId="77777777" w:rsidR="002E36E3" w:rsidRPr="002D473F" w:rsidRDefault="002E36E3" w:rsidP="002D473F">
      <w:pPr>
        <w:keepNext/>
        <w:spacing w:line="240" w:lineRule="auto"/>
        <w:jc w:val="center"/>
        <w:rPr>
          <w:rFonts w:asciiTheme="majorHAnsi" w:eastAsia="Times New Roman" w:hAnsiTheme="majorHAnsi" w:cstheme="majorHAnsi"/>
          <w:i/>
          <w:sz w:val="24"/>
          <w:szCs w:val="24"/>
        </w:rPr>
      </w:pPr>
    </w:p>
    <w:p w14:paraId="30E0EEDC" w14:textId="33ADD70A" w:rsidR="002E36E3" w:rsidRPr="002D473F" w:rsidRDefault="00256227" w:rsidP="002D473F">
      <w:pPr>
        <w:keepNext/>
        <w:spacing w:line="240" w:lineRule="auto"/>
        <w:jc w:val="center"/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</w:pPr>
      <w:r w:rsidRPr="002D473F"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  <w:t>Abstract</w:t>
      </w:r>
    </w:p>
    <w:p w14:paraId="65AA0D48" w14:textId="77777777" w:rsidR="00256227" w:rsidRPr="002D473F" w:rsidRDefault="00256227" w:rsidP="002D473F">
      <w:pPr>
        <w:keepNext/>
        <w:spacing w:line="240" w:lineRule="auto"/>
        <w:jc w:val="center"/>
        <w:rPr>
          <w:rFonts w:asciiTheme="majorHAnsi" w:eastAsia="Times New Roman" w:hAnsiTheme="majorHAnsi" w:cstheme="majorHAnsi"/>
          <w:iCs/>
          <w:sz w:val="24"/>
          <w:szCs w:val="24"/>
        </w:rPr>
      </w:pPr>
    </w:p>
    <w:p w14:paraId="085D1A30" w14:textId="7A1A9ECE" w:rsidR="00256227" w:rsidRPr="002D473F" w:rsidRDefault="00256227" w:rsidP="002D473F">
      <w:pPr>
        <w:keepNext/>
        <w:spacing w:line="240" w:lineRule="auto"/>
        <w:jc w:val="center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2D473F">
        <w:rPr>
          <w:rFonts w:asciiTheme="majorHAnsi" w:eastAsia="Times New Roman" w:hAnsiTheme="majorHAnsi" w:cstheme="majorHAnsi"/>
          <w:iCs/>
          <w:sz w:val="24"/>
          <w:szCs w:val="24"/>
        </w:rPr>
        <w:t>Jonathan Craft and Evert Lindquist</w:t>
      </w:r>
    </w:p>
    <w:p w14:paraId="6FE164C6" w14:textId="77777777" w:rsidR="00256227" w:rsidRPr="002D473F" w:rsidRDefault="00256227" w:rsidP="002D473F">
      <w:pPr>
        <w:keepNext/>
        <w:spacing w:line="240" w:lineRule="auto"/>
        <w:jc w:val="center"/>
        <w:rPr>
          <w:rFonts w:asciiTheme="majorHAnsi" w:eastAsia="Times New Roman" w:hAnsiTheme="majorHAnsi" w:cstheme="majorHAnsi"/>
          <w:iCs/>
          <w:sz w:val="24"/>
          <w:szCs w:val="24"/>
        </w:rPr>
      </w:pPr>
    </w:p>
    <w:p w14:paraId="05A7096E" w14:textId="74A08AE0" w:rsidR="00256227" w:rsidRPr="002D473F" w:rsidRDefault="00256227" w:rsidP="002D473F">
      <w:pPr>
        <w:keepNext/>
        <w:spacing w:line="240" w:lineRule="auto"/>
        <w:jc w:val="center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2D473F">
        <w:rPr>
          <w:rFonts w:asciiTheme="majorHAnsi" w:eastAsia="Times New Roman" w:hAnsiTheme="majorHAnsi" w:cstheme="majorHAnsi"/>
          <w:iCs/>
          <w:sz w:val="24"/>
          <w:szCs w:val="24"/>
        </w:rPr>
        <w:t>18 March 2024</w:t>
      </w:r>
    </w:p>
    <w:p w14:paraId="40383B53" w14:textId="77777777" w:rsidR="002E36E3" w:rsidRPr="002D473F" w:rsidRDefault="002E36E3" w:rsidP="002D473F">
      <w:pPr>
        <w:spacing w:after="120" w:line="240" w:lineRule="auto"/>
        <w:rPr>
          <w:rFonts w:asciiTheme="majorHAnsi" w:eastAsia="Times New Roman" w:hAnsiTheme="majorHAnsi" w:cstheme="majorHAnsi"/>
          <w:i/>
          <w:sz w:val="24"/>
          <w:szCs w:val="24"/>
          <w:highlight w:val="yellow"/>
        </w:rPr>
      </w:pPr>
    </w:p>
    <w:p w14:paraId="4848AAFB" w14:textId="77777777" w:rsidR="002E36E3" w:rsidRPr="002D473F" w:rsidRDefault="00972360" w:rsidP="002D473F">
      <w:pPr>
        <w:spacing w:after="12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D473F">
        <w:rPr>
          <w:rFonts w:asciiTheme="majorHAnsi" w:eastAsia="Times New Roman" w:hAnsiTheme="majorHAnsi" w:cstheme="majorHAnsi"/>
          <w:b/>
          <w:sz w:val="24"/>
          <w:szCs w:val="24"/>
        </w:rPr>
        <w:t>Overview</w:t>
      </w:r>
    </w:p>
    <w:p w14:paraId="26D43222" w14:textId="7450C6CE" w:rsidR="002E36E3" w:rsidRPr="002D473F" w:rsidRDefault="00972360" w:rsidP="002D473F">
      <w:pPr>
        <w:spacing w:after="12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This 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 xml:space="preserve">paper reports on a 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collection 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 xml:space="preserve">of papers which </w:t>
      </w:r>
      <w:r w:rsidRPr="002D473F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aim to deepen and enrich perspectives on broad questions of governance and public administration in periods of turbulence, and to locate 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Canadian practice and reform strategies which often lag other countries that feature more consistent and stronger responses (Halligan 2020; Savoie 2022). Turbulence makes it difficult for governments and observers to get their bearings, to adapt, and to adopt reforms with confidence. Our goal 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>is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 to stimulate a dialogue among scholars, along with Canadian public-service executives</w:t>
      </w:r>
      <w:r w:rsidR="0090159A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 to: develop a better sense of what Canada is experiencing, to learn about what other countries are doing to deal with turbulence, and to identify governance and public service reform strategies for Canada.</w:t>
      </w:r>
    </w:p>
    <w:p w14:paraId="560C431C" w14:textId="3AF469B4" w:rsidR="00256227" w:rsidRPr="002D473F" w:rsidRDefault="00972360" w:rsidP="002D473F">
      <w:pPr>
        <w:spacing w:after="12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Turbulence 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>is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 experienced on numerous fronts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 xml:space="preserve"> in governance systems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>, a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 xml:space="preserve">nd we seek to better understand the challenges it 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poses for elected leaders and supporting public-service systems, 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 xml:space="preserve">as well as 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>invit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>ing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 reflection on causes, effects, and responses. 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 xml:space="preserve">Our goal has been </w:t>
      </w:r>
      <w:r w:rsidR="00256227" w:rsidRPr="002D473F">
        <w:rPr>
          <w:rFonts w:asciiTheme="majorHAnsi" w:eastAsia="Times New Roman" w:hAnsiTheme="majorHAnsi" w:cstheme="majorHAnsi"/>
          <w:sz w:val="24"/>
          <w:szCs w:val="24"/>
        </w:rPr>
        <w:t xml:space="preserve">to contribute a Canadian perspective on a rapidly growing literature on turbulence, policy design, and public governance. Moreover, since most of this pioneering work </w:t>
      </w:r>
      <w:r w:rsidR="00256227" w:rsidRPr="002D473F">
        <w:rPr>
          <w:rFonts w:asciiTheme="majorHAnsi" w:eastAsia="Times New Roman" w:hAnsiTheme="majorHAnsi" w:cstheme="majorHAnsi"/>
          <w:sz w:val="24"/>
          <w:szCs w:val="24"/>
        </w:rPr>
        <w:t xml:space="preserve">on turbulence and governance </w:t>
      </w:r>
      <w:r w:rsidR="00256227" w:rsidRPr="002D473F">
        <w:rPr>
          <w:rFonts w:asciiTheme="majorHAnsi" w:eastAsia="Times New Roman" w:hAnsiTheme="majorHAnsi" w:cstheme="majorHAnsi"/>
          <w:sz w:val="24"/>
          <w:szCs w:val="24"/>
        </w:rPr>
        <w:t xml:space="preserve">proceeds at a high level of abstraction, </w:t>
      </w:r>
      <w:r w:rsidR="00256227" w:rsidRPr="002D473F">
        <w:rPr>
          <w:rFonts w:asciiTheme="majorHAnsi" w:eastAsia="Times New Roman" w:hAnsiTheme="majorHAnsi" w:cstheme="majorHAnsi"/>
          <w:sz w:val="24"/>
          <w:szCs w:val="24"/>
        </w:rPr>
        <w:t xml:space="preserve">we asked </w:t>
      </w:r>
      <w:r w:rsidR="00256227" w:rsidRPr="002D473F">
        <w:rPr>
          <w:rFonts w:asciiTheme="majorHAnsi" w:eastAsia="Times New Roman" w:hAnsiTheme="majorHAnsi" w:cstheme="majorHAnsi"/>
          <w:sz w:val="24"/>
          <w:szCs w:val="24"/>
        </w:rPr>
        <w:t xml:space="preserve">our contributors to explore how turbulence </w:t>
      </w:r>
      <w:r w:rsidR="00256227" w:rsidRPr="002D473F">
        <w:rPr>
          <w:rFonts w:asciiTheme="majorHAnsi" w:eastAsia="Times New Roman" w:hAnsiTheme="majorHAnsi" w:cstheme="majorHAnsi"/>
          <w:sz w:val="24"/>
          <w:szCs w:val="24"/>
        </w:rPr>
        <w:t xml:space="preserve">is experienced and </w:t>
      </w:r>
      <w:r w:rsidR="00256227" w:rsidRPr="002D473F">
        <w:rPr>
          <w:rFonts w:asciiTheme="majorHAnsi" w:eastAsia="Times New Roman" w:hAnsiTheme="majorHAnsi" w:cstheme="majorHAnsi"/>
          <w:sz w:val="24"/>
          <w:szCs w:val="24"/>
        </w:rPr>
        <w:t>affects specific facets of governance and public-service systems.</w:t>
      </w:r>
      <w:r w:rsidR="00256227" w:rsidRPr="002D473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>W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 xml:space="preserve">e invited contributions on numerous (but not all) facets of governance and public administration: broad governance strategies for societies, the relationships between elected leaders and public-service executives, policy advisory systems; multi-level, horizontal, and Indigenous governance; arm’s length arrangements; public sector leadership and reform strategies, including furthering digital capabilities and sensibilities; and managing performance and administrative burdens. </w:t>
      </w:r>
    </w:p>
    <w:p w14:paraId="08BAB2A6" w14:textId="17A970F2" w:rsidR="002E36E3" w:rsidRDefault="00256227" w:rsidP="002D473F">
      <w:pPr>
        <w:spacing w:after="12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D473F">
        <w:rPr>
          <w:rFonts w:asciiTheme="majorHAnsi" w:eastAsia="Times New Roman" w:hAnsiTheme="majorHAnsi" w:cstheme="majorHAnsi"/>
          <w:sz w:val="24"/>
          <w:szCs w:val="24"/>
        </w:rPr>
        <w:t>This paper will present key concepts and high-level themes emerging from the collection</w:t>
      </w:r>
      <w:r w:rsidR="00972360" w:rsidRPr="002D473F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 xml:space="preserve">share how practitioners added value to how contributors were conceiving their chapters, and explore how </w:t>
      </w:r>
      <w:r w:rsidR="00972360" w:rsidRPr="002D473F">
        <w:rPr>
          <w:rFonts w:asciiTheme="majorHAnsi" w:eastAsia="Times New Roman" w:hAnsiTheme="majorHAnsi" w:cstheme="majorHAnsi"/>
          <w:sz w:val="24"/>
          <w:szCs w:val="24"/>
        </w:rPr>
        <w:t xml:space="preserve">turbulence differentially affects 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>different aspects and</w:t>
      </w:r>
      <w:r w:rsidR="00972360" w:rsidRPr="002D473F">
        <w:rPr>
          <w:rFonts w:asciiTheme="majorHAnsi" w:eastAsia="Times New Roman" w:hAnsiTheme="majorHAnsi" w:cstheme="majorHAnsi"/>
          <w:sz w:val="24"/>
          <w:szCs w:val="24"/>
        </w:rPr>
        <w:t xml:space="preserve"> functions of our governance and public-service system. </w:t>
      </w:r>
      <w:r w:rsidRPr="002D473F">
        <w:rPr>
          <w:rFonts w:asciiTheme="majorHAnsi" w:eastAsia="Times New Roman" w:hAnsiTheme="majorHAnsi" w:cstheme="majorHAnsi"/>
          <w:sz w:val="24"/>
          <w:szCs w:val="24"/>
        </w:rPr>
        <w:t>Moreover, since the collection was initially conceived, the governance environment has become markedly more turbulent</w:t>
      </w:r>
      <w:r w:rsidR="002D473F" w:rsidRPr="002D473F">
        <w:rPr>
          <w:rFonts w:asciiTheme="majorHAnsi" w:eastAsia="Times New Roman" w:hAnsiTheme="majorHAnsi" w:cstheme="majorHAnsi"/>
          <w:sz w:val="24"/>
          <w:szCs w:val="24"/>
        </w:rPr>
        <w:t xml:space="preserve"> inside and outside Canada, and we hope to stimulate a collegial discussion with CAPPA colleagues on these developments. </w:t>
      </w:r>
    </w:p>
    <w:p w14:paraId="5B072977" w14:textId="03B88C6C" w:rsidR="002D473F" w:rsidRPr="002D473F" w:rsidRDefault="002D473F" w:rsidP="002D473F">
      <w:pPr>
        <w:spacing w:before="240" w:after="12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Corresponding presenter: Evert Lindquist </w:t>
      </w:r>
      <w:hyperlink r:id="rId7" w:history="1">
        <w:r w:rsidRPr="00907B4A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evert@uvic.ca</w:t>
        </w:r>
      </w:hyperlink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sectPr w:rsidR="002D473F" w:rsidRPr="002D473F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42F8" w14:textId="77777777" w:rsidR="00E03C67" w:rsidRDefault="00E03C67">
      <w:pPr>
        <w:spacing w:line="240" w:lineRule="auto"/>
      </w:pPr>
      <w:r>
        <w:separator/>
      </w:r>
    </w:p>
  </w:endnote>
  <w:endnote w:type="continuationSeparator" w:id="0">
    <w:p w14:paraId="4107F049" w14:textId="77777777" w:rsidR="00E03C67" w:rsidRDefault="00E03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4DAD" w14:textId="59AAFD20" w:rsidR="002E36E3" w:rsidRDefault="00972360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D27EB">
      <w:rPr>
        <w:rFonts w:ascii="Times New Roman" w:eastAsia="Times New Roman" w:hAnsi="Times New Roman" w:cs="Times New Roman"/>
        <w:noProof/>
        <w:sz w:val="24"/>
        <w:szCs w:val="24"/>
      </w:rPr>
      <w:t>8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2BE2" w14:textId="3B2630F4" w:rsidR="002E36E3" w:rsidRDefault="002E36E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8FA0" w14:textId="77777777" w:rsidR="00E03C67" w:rsidRDefault="00E03C67">
      <w:pPr>
        <w:spacing w:line="240" w:lineRule="auto"/>
      </w:pPr>
      <w:r>
        <w:separator/>
      </w:r>
    </w:p>
  </w:footnote>
  <w:footnote w:type="continuationSeparator" w:id="0">
    <w:p w14:paraId="797D990E" w14:textId="77777777" w:rsidR="00E03C67" w:rsidRDefault="00E03C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CF4"/>
    <w:multiLevelType w:val="multilevel"/>
    <w:tmpl w:val="30BE6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D87DA7"/>
    <w:multiLevelType w:val="multilevel"/>
    <w:tmpl w:val="714A8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013D11"/>
    <w:multiLevelType w:val="multilevel"/>
    <w:tmpl w:val="DCC04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B23E59"/>
    <w:multiLevelType w:val="multilevel"/>
    <w:tmpl w:val="57188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A468E5"/>
    <w:multiLevelType w:val="multilevel"/>
    <w:tmpl w:val="BAAA7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CB2A46"/>
    <w:multiLevelType w:val="multilevel"/>
    <w:tmpl w:val="E6CA5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4492691">
    <w:abstractNumId w:val="2"/>
  </w:num>
  <w:num w:numId="2" w16cid:durableId="142937680">
    <w:abstractNumId w:val="5"/>
  </w:num>
  <w:num w:numId="3" w16cid:durableId="1628008475">
    <w:abstractNumId w:val="1"/>
  </w:num>
  <w:num w:numId="4" w16cid:durableId="1658535400">
    <w:abstractNumId w:val="4"/>
  </w:num>
  <w:num w:numId="5" w16cid:durableId="132261198">
    <w:abstractNumId w:val="0"/>
  </w:num>
  <w:num w:numId="6" w16cid:durableId="93776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6E3"/>
    <w:rsid w:val="00256227"/>
    <w:rsid w:val="002D473F"/>
    <w:rsid w:val="002E36E3"/>
    <w:rsid w:val="004D27EB"/>
    <w:rsid w:val="0056409B"/>
    <w:rsid w:val="00611A3E"/>
    <w:rsid w:val="0090159A"/>
    <w:rsid w:val="00972360"/>
    <w:rsid w:val="00E0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AA15"/>
  <w15:docId w15:val="{8DCCC7B9-7A28-48CF-AFBA-57588D04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7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73F"/>
  </w:style>
  <w:style w:type="paragraph" w:styleId="Footer">
    <w:name w:val="footer"/>
    <w:basedOn w:val="Normal"/>
    <w:link w:val="FooterChar"/>
    <w:uiPriority w:val="99"/>
    <w:unhideWhenUsed/>
    <w:rsid w:val="002D47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73F"/>
  </w:style>
  <w:style w:type="character" w:styleId="Hyperlink">
    <w:name w:val="Hyperlink"/>
    <w:basedOn w:val="DefaultParagraphFont"/>
    <w:uiPriority w:val="99"/>
    <w:unhideWhenUsed/>
    <w:rsid w:val="002D47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vert@uvi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 Lindquist</dc:creator>
  <cp:lastModifiedBy>Evert Lindquist</cp:lastModifiedBy>
  <cp:revision>5</cp:revision>
  <dcterms:created xsi:type="dcterms:W3CDTF">2023-11-15T17:58:00Z</dcterms:created>
  <dcterms:modified xsi:type="dcterms:W3CDTF">2025-03-18T19:44:00Z</dcterms:modified>
</cp:coreProperties>
</file>