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098DE8" w14:textId="76C48472" w:rsidR="007A1A8D" w:rsidRDefault="007A1A8D">
      <w:r>
        <w:t>CAPPA 2024 Annual Conference</w:t>
      </w:r>
      <w:r w:rsidR="00231C91">
        <w:t xml:space="preserve"> - </w:t>
      </w:r>
      <w:r>
        <w:t>Individual Paper Proposal</w:t>
      </w:r>
    </w:p>
    <w:p w14:paraId="2368F253" w14:textId="77777777" w:rsidR="00231C91" w:rsidRDefault="00231C91"/>
    <w:p w14:paraId="04E1C728" w14:textId="42F4B8DE" w:rsidR="00231C91" w:rsidRDefault="00231C91">
      <w:r>
        <w:t xml:space="preserve">Luc </w:t>
      </w:r>
      <w:proofErr w:type="spellStart"/>
      <w:r>
        <w:t>Juillet</w:t>
      </w:r>
      <w:proofErr w:type="spellEnd"/>
    </w:p>
    <w:p w14:paraId="6CBB46B9" w14:textId="4F05FBE7" w:rsidR="00231C91" w:rsidRDefault="00231C91">
      <w:r>
        <w:t>University of Ottawa</w:t>
      </w:r>
    </w:p>
    <w:p w14:paraId="59E2E341" w14:textId="77777777" w:rsidR="007A1A8D" w:rsidRDefault="007A1A8D"/>
    <w:p w14:paraId="431B7467" w14:textId="517D09E8" w:rsidR="007A1A8D" w:rsidRPr="00295B6D" w:rsidRDefault="007A1A8D">
      <w:pPr>
        <w:rPr>
          <w:b/>
          <w:bCs/>
        </w:rPr>
      </w:pPr>
      <w:r w:rsidRPr="00295B6D">
        <w:rPr>
          <w:b/>
          <w:bCs/>
        </w:rPr>
        <w:t>Electric Federalism: Provincial Autonomy and Wind Polic</w:t>
      </w:r>
      <w:r w:rsidR="009B122E">
        <w:rPr>
          <w:b/>
          <w:bCs/>
        </w:rPr>
        <w:t>y Designs</w:t>
      </w:r>
      <w:r w:rsidRPr="00295B6D">
        <w:rPr>
          <w:b/>
          <w:bCs/>
        </w:rPr>
        <w:t xml:space="preserve"> in Alberta and Nova Scotia</w:t>
      </w:r>
    </w:p>
    <w:p w14:paraId="7E1E7970" w14:textId="77777777" w:rsidR="007A1A8D" w:rsidRDefault="007A1A8D"/>
    <w:p w14:paraId="2D66E567" w14:textId="04224EBD" w:rsidR="00B9424A" w:rsidRDefault="00295B6D" w:rsidP="007A1A8D">
      <w:pPr>
        <w:jc w:val="both"/>
      </w:pPr>
      <w:r>
        <w:t xml:space="preserve">In recent months, Alberta’s strong reaction to the anticipated federal </w:t>
      </w:r>
      <w:r w:rsidRPr="00295B6D">
        <w:rPr>
          <w:i/>
          <w:iCs/>
        </w:rPr>
        <w:t>Clean Electricity Regulation</w:t>
      </w:r>
      <w:r>
        <w:t>,</w:t>
      </w:r>
      <w:r w:rsidRPr="00295B6D">
        <w:t xml:space="preserve"> </w:t>
      </w:r>
      <w:r>
        <w:t xml:space="preserve">including </w:t>
      </w:r>
      <w:r>
        <w:t>its stated intent</w:t>
      </w:r>
      <w:r>
        <w:t xml:space="preserve"> </w:t>
      </w:r>
      <w:r>
        <w:t>to use</w:t>
      </w:r>
      <w:r>
        <w:t xml:space="preserve"> its Alberta Sovereignty Act</w:t>
      </w:r>
      <w:r>
        <w:t xml:space="preserve"> to prevent the application of federal law in the province, has made renewable policy one of the most controversial political issue</w:t>
      </w:r>
      <w:r w:rsidR="00512B67">
        <w:t>s</w:t>
      </w:r>
      <w:r>
        <w:t xml:space="preserve"> in the country</w:t>
      </w:r>
      <w:r w:rsidR="00B9424A">
        <w:t xml:space="preserve"> and depicts provinces as barriers to the growth of renewables</w:t>
      </w:r>
      <w:r>
        <w:t xml:space="preserve">. </w:t>
      </w:r>
      <w:r w:rsidR="00512B67">
        <w:t xml:space="preserve">Yet, </w:t>
      </w:r>
      <w:r w:rsidR="00512B67">
        <w:t xml:space="preserve">the need for a worldwide energy transition away from fossil fuels </w:t>
      </w:r>
      <w:r w:rsidR="00512B67">
        <w:t>has been</w:t>
      </w:r>
      <w:r w:rsidR="00512B67">
        <w:t xml:space="preserve"> challenging provinces to transform their electricity systems</w:t>
      </w:r>
      <w:r w:rsidR="00512B67">
        <w:t xml:space="preserve"> for many years and several provinces have built significant wind power capacity, including Alberta and Nova Scotia, which are leading the country in this area. </w:t>
      </w:r>
      <w:r w:rsidR="00B9424A">
        <w:t>In this perspective, t</w:t>
      </w:r>
      <w:r w:rsidR="00512B67">
        <w:t>he ability of the federal government</w:t>
      </w:r>
      <w:r w:rsidR="00B9424A">
        <w:t xml:space="preserve"> to create a national framework that will create incentives for further provincial actions while respecting provincial autonomy and leverage the different strengths of provincial wind policy designs is central to a successful national energy transition. In this regard, it is striking how Nova Scotia, which has significantly increased its own wind power capacity in the last fifteen years, has adopted a much more cooperative stance toward federal intervention.</w:t>
      </w:r>
    </w:p>
    <w:p w14:paraId="073EF682" w14:textId="77777777" w:rsidR="00B9424A" w:rsidRDefault="00B9424A" w:rsidP="007A1A8D">
      <w:pPr>
        <w:jc w:val="both"/>
      </w:pPr>
    </w:p>
    <w:p w14:paraId="6D9AA568" w14:textId="031CCB1C" w:rsidR="00CB6AB0" w:rsidRDefault="00B9424A" w:rsidP="007A1A8D">
      <w:pPr>
        <w:jc w:val="both"/>
      </w:pPr>
      <w:r>
        <w:t xml:space="preserve">To explain the difference between the positions of </w:t>
      </w:r>
      <w:r w:rsidR="00CB6AB0">
        <w:t>the provinces</w:t>
      </w:r>
      <w:r>
        <w:t xml:space="preserve"> on the </w:t>
      </w:r>
      <w:r w:rsidR="00CB6AB0">
        <w:t xml:space="preserve">announced federal electricity policy and </w:t>
      </w:r>
      <w:r>
        <w:t xml:space="preserve">better ascertain the </w:t>
      </w:r>
      <w:r w:rsidR="00CB6AB0">
        <w:t>challenges represented by the development of a coherent national policy framework, the paper compares the history, framing and design of wind power policies in Alberta and Nova Scotia over the last fifteen years.</w:t>
      </w:r>
      <w:r w:rsidR="00CB6AB0" w:rsidRPr="00CB6AB0">
        <w:t xml:space="preserve"> </w:t>
      </w:r>
      <w:r w:rsidR="00CB6AB0">
        <w:t>Drawing from</w:t>
      </w:r>
      <w:r w:rsidR="00CB6AB0">
        <w:t xml:space="preserve"> a review of policy documents</w:t>
      </w:r>
      <w:r w:rsidR="00CB6AB0">
        <w:t>, interviews</w:t>
      </w:r>
      <w:r w:rsidR="00CB6AB0">
        <w:t xml:space="preserve"> and </w:t>
      </w:r>
      <w:r w:rsidR="00CB6AB0">
        <w:t xml:space="preserve">a content analysis of </w:t>
      </w:r>
      <w:r w:rsidR="00CB6AB0">
        <w:t>regional media (</w:t>
      </w:r>
      <w:r w:rsidR="00CB6AB0" w:rsidRPr="006F4BB6">
        <w:rPr>
          <w:i/>
          <w:iCs/>
        </w:rPr>
        <w:t>Edmonton Journal</w:t>
      </w:r>
      <w:r w:rsidR="00CB6AB0">
        <w:t xml:space="preserve">, </w:t>
      </w:r>
      <w:r w:rsidR="00CB6AB0" w:rsidRPr="006F4BB6">
        <w:rPr>
          <w:i/>
          <w:iCs/>
        </w:rPr>
        <w:t>Calgary Herald</w:t>
      </w:r>
      <w:r w:rsidR="00CB6AB0">
        <w:t xml:space="preserve">, </w:t>
      </w:r>
      <w:r w:rsidR="00CB6AB0" w:rsidRPr="006F4BB6">
        <w:rPr>
          <w:i/>
          <w:iCs/>
        </w:rPr>
        <w:t>Chronicle Herald</w:t>
      </w:r>
      <w:r w:rsidR="00CB6AB0">
        <w:t xml:space="preserve">, </w:t>
      </w:r>
      <w:proofErr w:type="spellStart"/>
      <w:r w:rsidR="00CB6AB0" w:rsidRPr="006F4BB6">
        <w:rPr>
          <w:i/>
          <w:iCs/>
        </w:rPr>
        <w:t>Saltwire</w:t>
      </w:r>
      <w:proofErr w:type="spellEnd"/>
      <w:r w:rsidR="00CB6AB0">
        <w:t xml:space="preserve">) as well as </w:t>
      </w:r>
      <w:r w:rsidR="009B122E">
        <w:t>provincial</w:t>
      </w:r>
      <w:r w:rsidR="00CB6AB0">
        <w:t xml:space="preserve"> </w:t>
      </w:r>
      <w:r w:rsidR="00CB6AB0">
        <w:t>dataset</w:t>
      </w:r>
      <w:r w:rsidR="009B122E">
        <w:t>s</w:t>
      </w:r>
      <w:r w:rsidR="00CB6AB0">
        <w:t xml:space="preserve">, we </w:t>
      </w:r>
      <w:r w:rsidR="009B122E">
        <w:t>argue</w:t>
      </w:r>
      <w:r w:rsidR="00CB6AB0">
        <w:t xml:space="preserve"> that </w:t>
      </w:r>
      <w:r w:rsidR="009B122E">
        <w:t xml:space="preserve">the </w:t>
      </w:r>
      <w:r w:rsidR="00CB6AB0">
        <w:t>provinc</w:t>
      </w:r>
      <w:r w:rsidR="009B122E">
        <w:t>es’ wind policies differ markedly, due</w:t>
      </w:r>
      <w:r w:rsidR="00CB6AB0">
        <w:t xml:space="preserve"> </w:t>
      </w:r>
      <w:r w:rsidR="009B122E">
        <w:t>in good part to the structure of their electricity markets, dominant party ideology and problem framing, and that these differences in policy design is currently making alignment with the emerging national policy framework more difficult for Alberta.</w:t>
      </w:r>
    </w:p>
    <w:p w14:paraId="153E3C92" w14:textId="77777777" w:rsidR="009B122E" w:rsidRDefault="009B122E" w:rsidP="007A1A8D">
      <w:pPr>
        <w:jc w:val="both"/>
      </w:pPr>
    </w:p>
    <w:p w14:paraId="55E7E914" w14:textId="77777777" w:rsidR="009B122E" w:rsidRPr="00A4680C" w:rsidRDefault="009B122E" w:rsidP="009B122E">
      <w:pPr>
        <w:pStyle w:val="NoSpacing"/>
        <w:jc w:val="both"/>
        <w:rPr>
          <w:rFonts w:ascii="Times New Roman" w:hAnsi="Times New Roman" w:cs="Times New Roman"/>
          <w:b/>
          <w:bCs/>
          <w:sz w:val="24"/>
          <w:szCs w:val="24"/>
          <w:lang w:val="fr-CA"/>
        </w:rPr>
      </w:pPr>
      <w:r w:rsidRPr="00A4680C">
        <w:rPr>
          <w:rFonts w:ascii="Times New Roman" w:hAnsi="Times New Roman" w:cs="Times New Roman"/>
          <w:b/>
          <w:bCs/>
          <w:sz w:val="24"/>
          <w:szCs w:val="24"/>
          <w:lang w:val="fr-CA"/>
        </w:rPr>
        <w:t>Bio – Luc Juillet</w:t>
      </w:r>
    </w:p>
    <w:p w14:paraId="3CE58C0B" w14:textId="77777777" w:rsidR="009B122E" w:rsidRPr="00A4680C" w:rsidRDefault="009B122E" w:rsidP="009B122E">
      <w:pPr>
        <w:pStyle w:val="NoSpacing"/>
        <w:jc w:val="both"/>
        <w:rPr>
          <w:rFonts w:ascii="Times New Roman" w:hAnsi="Times New Roman" w:cs="Times New Roman"/>
          <w:sz w:val="24"/>
          <w:szCs w:val="24"/>
          <w:lang w:val="fr-CA"/>
        </w:rPr>
      </w:pPr>
    </w:p>
    <w:p w14:paraId="4D3A4B6D" w14:textId="77777777" w:rsidR="009B122E" w:rsidRPr="00F90E8F" w:rsidRDefault="009B122E" w:rsidP="009B122E">
      <w:pPr>
        <w:pStyle w:val="NoSpacing"/>
        <w:jc w:val="both"/>
        <w:rPr>
          <w:rFonts w:ascii="Times New Roman" w:hAnsi="Times New Roman" w:cs="Times New Roman"/>
          <w:color w:val="262626"/>
          <w:sz w:val="24"/>
          <w:szCs w:val="24"/>
          <w:lang w:val="fr-CA"/>
        </w:rPr>
      </w:pPr>
      <w:r w:rsidRPr="00A4680C">
        <w:rPr>
          <w:rFonts w:ascii="Times New Roman" w:hAnsi="Times New Roman" w:cs="Times New Roman"/>
          <w:color w:val="262626"/>
          <w:sz w:val="24"/>
          <w:szCs w:val="24"/>
          <w:lang w:val="fr-CA"/>
        </w:rPr>
        <w:t>Luc Juillet enseigne la gestion publique et le gouvernement démocratique à l'Université d'Ottawa, où il a également été directeur fondateur de l'École supérieure d'affaires publiques et internationales</w:t>
      </w:r>
      <w:r>
        <w:rPr>
          <w:rFonts w:ascii="Times New Roman" w:hAnsi="Times New Roman" w:cs="Times New Roman"/>
          <w:color w:val="262626"/>
          <w:sz w:val="24"/>
          <w:szCs w:val="24"/>
          <w:lang w:val="fr-CA"/>
        </w:rPr>
        <w:t xml:space="preserve"> et</w:t>
      </w:r>
      <w:r w:rsidRPr="00A4680C">
        <w:rPr>
          <w:rFonts w:ascii="Times New Roman" w:hAnsi="Times New Roman" w:cs="Times New Roman"/>
          <w:color w:val="262626"/>
          <w:sz w:val="24"/>
          <w:szCs w:val="24"/>
          <w:lang w:val="fr-CA"/>
        </w:rPr>
        <w:t xml:space="preserve"> directeur associé </w:t>
      </w:r>
      <w:r>
        <w:rPr>
          <w:rFonts w:ascii="Times New Roman" w:hAnsi="Times New Roman" w:cs="Times New Roman"/>
          <w:color w:val="262626"/>
          <w:sz w:val="24"/>
          <w:szCs w:val="24"/>
          <w:lang w:val="fr-CA"/>
        </w:rPr>
        <w:t>de l’École</w:t>
      </w:r>
      <w:r w:rsidRPr="00A4680C">
        <w:rPr>
          <w:rFonts w:ascii="Times New Roman" w:hAnsi="Times New Roman" w:cs="Times New Roman"/>
          <w:color w:val="262626"/>
          <w:sz w:val="24"/>
          <w:szCs w:val="24"/>
          <w:lang w:val="fr-CA"/>
        </w:rPr>
        <w:t xml:space="preserve"> d'études politiques. Il est également rédacteur </w:t>
      </w:r>
      <w:r>
        <w:rPr>
          <w:rFonts w:ascii="Times New Roman" w:hAnsi="Times New Roman" w:cs="Times New Roman"/>
          <w:color w:val="262626"/>
          <w:sz w:val="24"/>
          <w:szCs w:val="24"/>
          <w:lang w:val="fr-CA"/>
        </w:rPr>
        <w:t>associé</w:t>
      </w:r>
      <w:r w:rsidRPr="00A4680C">
        <w:rPr>
          <w:rFonts w:ascii="Times New Roman" w:hAnsi="Times New Roman" w:cs="Times New Roman"/>
          <w:color w:val="262626"/>
          <w:sz w:val="24"/>
          <w:szCs w:val="24"/>
          <w:lang w:val="fr-CA"/>
        </w:rPr>
        <w:t xml:space="preserve"> de la revue</w:t>
      </w:r>
      <w:r w:rsidRPr="00A4680C">
        <w:rPr>
          <w:rStyle w:val="apple-converted-space"/>
          <w:rFonts w:ascii="Times New Roman" w:hAnsi="Times New Roman" w:cs="Times New Roman"/>
          <w:color w:val="262626"/>
          <w:sz w:val="24"/>
          <w:szCs w:val="24"/>
          <w:lang w:val="fr-CA"/>
        </w:rPr>
        <w:t> </w:t>
      </w:r>
      <w:r w:rsidRPr="00A4680C">
        <w:rPr>
          <w:rFonts w:ascii="Times New Roman" w:hAnsi="Times New Roman" w:cs="Times New Roman"/>
          <w:i/>
          <w:iCs/>
          <w:color w:val="262626"/>
          <w:sz w:val="24"/>
          <w:szCs w:val="24"/>
          <w:lang w:val="fr-CA"/>
        </w:rPr>
        <w:t>Canadian Public Administration</w:t>
      </w:r>
      <w:r>
        <w:rPr>
          <w:rStyle w:val="apple-converted-space"/>
          <w:rFonts w:ascii="Times New Roman" w:hAnsi="Times New Roman" w:cs="Times New Roman"/>
          <w:color w:val="262626"/>
          <w:sz w:val="24"/>
          <w:szCs w:val="24"/>
          <w:lang w:val="fr-CA"/>
        </w:rPr>
        <w:t>,</w:t>
      </w:r>
      <w:r w:rsidRPr="00A4680C">
        <w:rPr>
          <w:rFonts w:ascii="Times New Roman" w:hAnsi="Times New Roman" w:cs="Times New Roman"/>
          <w:color w:val="262626"/>
          <w:sz w:val="24"/>
          <w:szCs w:val="24"/>
          <w:lang w:val="fr-CA"/>
        </w:rPr>
        <w:t xml:space="preserve"> </w:t>
      </w:r>
      <w:r>
        <w:rPr>
          <w:rFonts w:ascii="Times New Roman" w:hAnsi="Times New Roman" w:cs="Times New Roman"/>
          <w:color w:val="262626"/>
          <w:sz w:val="24"/>
          <w:szCs w:val="24"/>
          <w:lang w:val="fr-CA"/>
        </w:rPr>
        <w:t>directeur de la collection</w:t>
      </w:r>
      <w:r w:rsidRPr="00A4680C">
        <w:rPr>
          <w:rFonts w:ascii="Times New Roman" w:hAnsi="Times New Roman" w:cs="Times New Roman"/>
          <w:color w:val="262626"/>
          <w:sz w:val="24"/>
          <w:szCs w:val="24"/>
          <w:lang w:val="fr-CA"/>
        </w:rPr>
        <w:t xml:space="preserve"> I</w:t>
      </w:r>
      <w:r>
        <w:rPr>
          <w:rFonts w:ascii="Times New Roman" w:hAnsi="Times New Roman" w:cs="Times New Roman"/>
          <w:color w:val="262626"/>
          <w:sz w:val="24"/>
          <w:szCs w:val="24"/>
          <w:lang w:val="fr-CA"/>
        </w:rPr>
        <w:t>AP</w:t>
      </w:r>
      <w:r w:rsidRPr="00A4680C">
        <w:rPr>
          <w:rFonts w:ascii="Times New Roman" w:hAnsi="Times New Roman" w:cs="Times New Roman"/>
          <w:color w:val="262626"/>
          <w:sz w:val="24"/>
          <w:szCs w:val="24"/>
          <w:lang w:val="fr-CA"/>
        </w:rPr>
        <w:t>C sur la gestion publique et la gouvernance aux Presses de l'Université de Toronto</w:t>
      </w:r>
      <w:r>
        <w:rPr>
          <w:rFonts w:ascii="Times New Roman" w:hAnsi="Times New Roman" w:cs="Times New Roman"/>
          <w:color w:val="262626"/>
          <w:sz w:val="24"/>
          <w:szCs w:val="24"/>
          <w:lang w:val="fr-CA"/>
        </w:rPr>
        <w:t xml:space="preserve">, et co-directeur de la collection Administration publique et Gouvernance aux Presse de l’Université du Québec. </w:t>
      </w:r>
      <w:r w:rsidRPr="00A4680C">
        <w:rPr>
          <w:rFonts w:ascii="Times New Roman" w:hAnsi="Times New Roman" w:cs="Times New Roman"/>
          <w:color w:val="262626"/>
          <w:sz w:val="24"/>
          <w:szCs w:val="24"/>
          <w:lang w:val="fr-CA"/>
        </w:rPr>
        <w:t>Avec Catherine Liston-</w:t>
      </w:r>
      <w:proofErr w:type="spellStart"/>
      <w:r w:rsidRPr="00A4680C">
        <w:rPr>
          <w:rFonts w:ascii="Times New Roman" w:hAnsi="Times New Roman" w:cs="Times New Roman"/>
          <w:color w:val="262626"/>
          <w:sz w:val="24"/>
          <w:szCs w:val="24"/>
          <w:lang w:val="fr-CA"/>
        </w:rPr>
        <w:t>Heyes</w:t>
      </w:r>
      <w:proofErr w:type="spellEnd"/>
      <w:r w:rsidRPr="00A4680C">
        <w:rPr>
          <w:rFonts w:ascii="Times New Roman" w:hAnsi="Times New Roman" w:cs="Times New Roman"/>
          <w:color w:val="262626"/>
          <w:sz w:val="24"/>
          <w:szCs w:val="24"/>
          <w:lang w:val="fr-CA"/>
        </w:rPr>
        <w:t xml:space="preserve">, il termine actuellement un projet sur la vérification </w:t>
      </w:r>
      <w:r>
        <w:rPr>
          <w:rFonts w:ascii="Times New Roman" w:hAnsi="Times New Roman" w:cs="Times New Roman"/>
          <w:color w:val="262626"/>
          <w:sz w:val="24"/>
          <w:szCs w:val="24"/>
          <w:lang w:val="fr-CA"/>
        </w:rPr>
        <w:t xml:space="preserve">dans le secteur </w:t>
      </w:r>
      <w:r w:rsidRPr="00A4680C">
        <w:rPr>
          <w:rFonts w:ascii="Times New Roman" w:hAnsi="Times New Roman" w:cs="Times New Roman"/>
          <w:color w:val="262626"/>
          <w:sz w:val="24"/>
          <w:szCs w:val="24"/>
          <w:lang w:val="fr-CA"/>
        </w:rPr>
        <w:t>publi</w:t>
      </w:r>
      <w:r>
        <w:rPr>
          <w:rFonts w:ascii="Times New Roman" w:hAnsi="Times New Roman" w:cs="Times New Roman"/>
          <w:color w:val="262626"/>
          <w:sz w:val="24"/>
          <w:szCs w:val="24"/>
          <w:lang w:val="fr-CA"/>
        </w:rPr>
        <w:t xml:space="preserve">c, dont les résultats ont été notamment </w:t>
      </w:r>
      <w:r w:rsidRPr="00A4680C">
        <w:rPr>
          <w:rFonts w:ascii="Times New Roman" w:hAnsi="Times New Roman" w:cs="Times New Roman"/>
          <w:color w:val="262626"/>
          <w:sz w:val="24"/>
          <w:szCs w:val="24"/>
          <w:lang w:val="fr-CA"/>
        </w:rPr>
        <w:t>publiés</w:t>
      </w:r>
      <w:r>
        <w:rPr>
          <w:rFonts w:ascii="Times New Roman" w:hAnsi="Times New Roman" w:cs="Times New Roman"/>
          <w:color w:val="262626"/>
          <w:sz w:val="24"/>
          <w:szCs w:val="24"/>
          <w:lang w:val="fr-CA"/>
        </w:rPr>
        <w:t xml:space="preserve"> </w:t>
      </w:r>
      <w:r w:rsidRPr="00F90E8F">
        <w:rPr>
          <w:rFonts w:ascii="Times New Roman" w:hAnsi="Times New Roman" w:cs="Times New Roman"/>
          <w:color w:val="262626"/>
          <w:sz w:val="24"/>
          <w:szCs w:val="24"/>
          <w:lang w:val="fr-CA"/>
        </w:rPr>
        <w:t xml:space="preserve">dans </w:t>
      </w:r>
      <w:r w:rsidRPr="00F90E8F">
        <w:rPr>
          <w:rStyle w:val="apple-converted-space"/>
          <w:rFonts w:ascii="Times New Roman" w:hAnsi="Times New Roman" w:cs="Times New Roman"/>
          <w:i/>
          <w:iCs/>
          <w:color w:val="262626"/>
          <w:sz w:val="24"/>
          <w:szCs w:val="24"/>
          <w:lang w:val="fr-CA"/>
        </w:rPr>
        <w:t>Public</w:t>
      </w:r>
      <w:r w:rsidRPr="00F90E8F">
        <w:rPr>
          <w:rFonts w:ascii="Times New Roman" w:hAnsi="Times New Roman" w:cs="Times New Roman"/>
          <w:i/>
          <w:iCs/>
          <w:color w:val="262626"/>
          <w:sz w:val="24"/>
          <w:szCs w:val="24"/>
          <w:lang w:val="fr-CA"/>
        </w:rPr>
        <w:t xml:space="preserve"> Administration,</w:t>
      </w:r>
      <w:r w:rsidRPr="00F90E8F">
        <w:rPr>
          <w:rStyle w:val="apple-converted-space"/>
          <w:rFonts w:ascii="Times New Roman" w:hAnsi="Times New Roman" w:cs="Times New Roman"/>
          <w:i/>
          <w:iCs/>
          <w:color w:val="262626"/>
          <w:sz w:val="24"/>
          <w:szCs w:val="24"/>
          <w:lang w:val="fr-CA"/>
        </w:rPr>
        <w:t xml:space="preserve"> </w:t>
      </w:r>
      <w:r w:rsidRPr="00F90E8F">
        <w:rPr>
          <w:rFonts w:ascii="Times New Roman" w:hAnsi="Times New Roman" w:cs="Times New Roman"/>
          <w:i/>
          <w:iCs/>
          <w:color w:val="262626"/>
          <w:sz w:val="24"/>
          <w:szCs w:val="24"/>
          <w:lang w:val="fr-CA"/>
        </w:rPr>
        <w:t xml:space="preserve">Financial Management &amp; </w:t>
      </w:r>
      <w:proofErr w:type="spellStart"/>
      <w:r w:rsidRPr="00F90E8F">
        <w:rPr>
          <w:rFonts w:ascii="Times New Roman" w:hAnsi="Times New Roman" w:cs="Times New Roman"/>
          <w:i/>
          <w:iCs/>
          <w:color w:val="262626"/>
          <w:sz w:val="24"/>
          <w:szCs w:val="24"/>
          <w:lang w:val="fr-CA"/>
        </w:rPr>
        <w:t>Accountability</w:t>
      </w:r>
      <w:proofErr w:type="spellEnd"/>
      <w:r w:rsidRPr="00F90E8F">
        <w:rPr>
          <w:rStyle w:val="apple-converted-space"/>
          <w:rFonts w:ascii="Times New Roman" w:hAnsi="Times New Roman" w:cs="Times New Roman"/>
          <w:i/>
          <w:iCs/>
          <w:color w:val="262626"/>
          <w:sz w:val="24"/>
          <w:szCs w:val="24"/>
          <w:lang w:val="fr-CA"/>
        </w:rPr>
        <w:t> </w:t>
      </w:r>
      <w:r w:rsidRPr="00F90E8F">
        <w:rPr>
          <w:rFonts w:ascii="Times New Roman" w:hAnsi="Times New Roman" w:cs="Times New Roman"/>
          <w:i/>
          <w:iCs/>
          <w:color w:val="262626"/>
          <w:sz w:val="24"/>
          <w:szCs w:val="24"/>
          <w:lang w:val="fr-CA"/>
        </w:rPr>
        <w:t>et</w:t>
      </w:r>
      <w:r w:rsidRPr="00F90E8F">
        <w:rPr>
          <w:rStyle w:val="apple-converted-space"/>
          <w:rFonts w:ascii="Times New Roman" w:hAnsi="Times New Roman" w:cs="Times New Roman"/>
          <w:i/>
          <w:iCs/>
          <w:color w:val="262626"/>
          <w:sz w:val="24"/>
          <w:szCs w:val="24"/>
          <w:lang w:val="fr-CA"/>
        </w:rPr>
        <w:t> </w:t>
      </w:r>
      <w:r w:rsidRPr="00F90E8F">
        <w:rPr>
          <w:rFonts w:ascii="Times New Roman" w:hAnsi="Times New Roman" w:cs="Times New Roman"/>
          <w:i/>
          <w:iCs/>
          <w:color w:val="262626"/>
          <w:sz w:val="24"/>
          <w:szCs w:val="24"/>
          <w:lang w:val="fr-CA"/>
        </w:rPr>
        <w:t xml:space="preserve">Public Management </w:t>
      </w:r>
      <w:proofErr w:type="spellStart"/>
      <w:r w:rsidRPr="00F90E8F">
        <w:rPr>
          <w:rFonts w:ascii="Times New Roman" w:hAnsi="Times New Roman" w:cs="Times New Roman"/>
          <w:i/>
          <w:iCs/>
          <w:color w:val="262626"/>
          <w:sz w:val="24"/>
          <w:szCs w:val="24"/>
          <w:lang w:val="fr-CA"/>
        </w:rPr>
        <w:t>Review</w:t>
      </w:r>
      <w:proofErr w:type="spellEnd"/>
      <w:r w:rsidRPr="00F90E8F">
        <w:rPr>
          <w:rFonts w:ascii="Times New Roman" w:hAnsi="Times New Roman" w:cs="Times New Roman"/>
          <w:color w:val="262626"/>
          <w:sz w:val="24"/>
          <w:szCs w:val="24"/>
          <w:lang w:val="fr-CA"/>
        </w:rPr>
        <w:t>.</w:t>
      </w:r>
    </w:p>
    <w:p w14:paraId="2B8B55AB" w14:textId="77777777" w:rsidR="007A1A8D" w:rsidRPr="009B122E" w:rsidRDefault="007A1A8D">
      <w:pPr>
        <w:rPr>
          <w:lang w:val="fr-CA"/>
        </w:rPr>
      </w:pPr>
    </w:p>
    <w:sectPr w:rsidR="007A1A8D" w:rsidRPr="009B12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A8D"/>
    <w:rsid w:val="00231C91"/>
    <w:rsid w:val="00295B6D"/>
    <w:rsid w:val="00512B67"/>
    <w:rsid w:val="007A1A8D"/>
    <w:rsid w:val="009B122E"/>
    <w:rsid w:val="00B9424A"/>
    <w:rsid w:val="00CB6AB0"/>
    <w:rsid w:val="00E87C3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7929F681"/>
  <w15:chartTrackingRefBased/>
  <w15:docId w15:val="{CB1DF94F-C254-0948-A0DC-1F65FBFBF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C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B122E"/>
    <w:rPr>
      <w:kern w:val="0"/>
      <w:sz w:val="22"/>
      <w:szCs w:val="22"/>
      <w:lang w:val="en-US"/>
      <w14:ligatures w14:val="none"/>
    </w:rPr>
  </w:style>
  <w:style w:type="character" w:customStyle="1" w:styleId="apple-converted-space">
    <w:name w:val="apple-converted-space"/>
    <w:basedOn w:val="DefaultParagraphFont"/>
    <w:rsid w:val="009B12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TotalTime>
  <Pages>1</Pages>
  <Words>456</Words>
  <Characters>2604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 Juillet</dc:creator>
  <cp:keywords/>
  <dc:description/>
  <cp:lastModifiedBy>Luc Juillet</cp:lastModifiedBy>
  <cp:revision>2</cp:revision>
  <dcterms:created xsi:type="dcterms:W3CDTF">2023-12-05T03:35:00Z</dcterms:created>
  <dcterms:modified xsi:type="dcterms:W3CDTF">2023-12-05T04:37:00Z</dcterms:modified>
</cp:coreProperties>
</file>